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E8" w:rsidRPr="00B620E8" w:rsidRDefault="00B620E8" w:rsidP="00B620E8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620E8">
        <w:rPr>
          <w:rFonts w:ascii="Times New Roman" w:hAnsi="Times New Roman" w:cs="Times New Roman"/>
          <w:b/>
          <w:sz w:val="28"/>
          <w:szCs w:val="28"/>
          <w:u w:val="single"/>
        </w:rPr>
        <w:t>Прокурор разъясняет: преступления в сфере информационно-телекоммуникационных технологий</w:t>
      </w:r>
    </w:p>
    <w:p w:rsidR="00B620E8" w:rsidRPr="00A3011D" w:rsidRDefault="00B620E8" w:rsidP="00B620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Ускоренное внедрение цифровых технологий в жизни общества помимо положительных аспектов, имеет и негативную (криминогенную) сторону.</w:t>
      </w:r>
    </w:p>
    <w:p w:rsidR="00B620E8" w:rsidRPr="00A3011D" w:rsidRDefault="00B620E8" w:rsidP="00B620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Информационно-телекоммуникационные технологии (далее- ИТТ) преимущественно используются при совершении преступлений против собственности, а также в сфере незаконного оборота наркотических средств и психотропных веществ. Уязвимость внедряемых в финансово-кредитную сферу инновационных технологий и их активное применение на практике эксплуатируют мошенники, совершая посягательства на имущество граждан и организаций на принципиально новой высокотехнологичной основе.</w:t>
      </w:r>
    </w:p>
    <w:p w:rsidR="00B620E8" w:rsidRPr="00A3011D" w:rsidRDefault="00B620E8" w:rsidP="00B620E8">
      <w:pPr>
        <w:rPr>
          <w:rFonts w:ascii="Times New Roman" w:hAnsi="Times New Roman" w:cs="Times New Roman"/>
          <w:sz w:val="28"/>
          <w:szCs w:val="28"/>
        </w:rPr>
      </w:pPr>
    </w:p>
    <w:p w:rsidR="00B620E8" w:rsidRPr="00A3011D" w:rsidRDefault="00B620E8" w:rsidP="00B620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Государство на законодательном уровне реагирует на сложившуюся обстановку. Так, федеральным законом от 23 апреля 2018 г. № 111-ФЗ «О внесении изменений в Уголовный кодекс Российской Федерации» усилено наказание за хищение денежных средств с банковского счета или электронных денежных средств до 6 лет лишения свободы. При этом уголовная ответственность наступает не только за совершение хищений с использованием банковских карт (их реквизитов и контрольной информации), но и иных электронных средств платежа («электронные кошельки», другие платежные сервисы).</w:t>
      </w:r>
    </w:p>
    <w:p w:rsidR="00B620E8" w:rsidRPr="00A3011D" w:rsidRDefault="00B620E8" w:rsidP="00B620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Принятие Федерального закона от 27 июня 2018 г. № 167-ФЗ «О внесении изменений в отдельные законодательные акты Российской Федерации в части противодействия хищению денежных средств» и запуск автоматизированных систем Банка России «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ФинЦЕРТ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ФидАнтифрод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» расширили возможности кредитных организаций по выявлению и блокированию транзакций, имеющих признаки перевода денежных средств без согласия клиента, и возмещению ущерба от них.</w:t>
      </w:r>
    </w:p>
    <w:p w:rsidR="00B620E8" w:rsidRPr="00A3011D" w:rsidRDefault="00B620E8" w:rsidP="00B620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интегрированный банк данных федерального уровня (далее ИБД-Ф) Главного информационно-аналитического центра МВД России введен в эксплуатацию модуль «Дистанционное мошенничество». Анализ содержащейся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иных преступлений в сфере ИТТ с использованием им тех же номеров телефонов, банковских карт, адресов используемых сайтов и т.д. Таким образом, при установлении лица, совершившего хотя бы один преступный эпизод с использованием тех же средств, возможно отследить и иные совершенные им преступления в любом регионе страны.</w:t>
      </w:r>
    </w:p>
    <w:p w:rsidR="000963DA" w:rsidRPr="00B620E8" w:rsidRDefault="000963DA" w:rsidP="00B620E8"/>
    <w:sectPr w:rsidR="000963DA" w:rsidRPr="00B6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0A0DC2"/>
    <w:rsid w:val="004A41D7"/>
    <w:rsid w:val="004F7843"/>
    <w:rsid w:val="00762DDF"/>
    <w:rsid w:val="008637DB"/>
    <w:rsid w:val="00AF48C4"/>
    <w:rsid w:val="00B231A0"/>
    <w:rsid w:val="00B620E8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2023-10-30T11:14:00Z</dcterms:created>
  <dcterms:modified xsi:type="dcterms:W3CDTF">2023-10-30T11:14:00Z</dcterms:modified>
</cp:coreProperties>
</file>